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2DE" w:rsidRPr="00C649A0" w:rsidRDefault="002F22DE">
      <w:pPr>
        <w:rPr>
          <w:rFonts w:ascii="Century Gothic" w:hAnsi="Century Gothic"/>
        </w:rPr>
      </w:pPr>
    </w:p>
    <w:p w:rsidR="002F22DE" w:rsidRPr="00C649A0" w:rsidRDefault="004D5E53" w:rsidP="002F22DE">
      <w:pPr>
        <w:jc w:val="center"/>
        <w:rPr>
          <w:rFonts w:ascii="Century Gothic" w:hAnsi="Century Gothic"/>
          <w:b/>
          <w:sz w:val="28"/>
          <w:u w:val="single"/>
        </w:rPr>
      </w:pPr>
      <w:r>
        <w:rPr>
          <w:rFonts w:ascii="Century Gothic" w:hAnsi="Century Gothic"/>
          <w:b/>
          <w:sz w:val="28"/>
          <w:u w:val="single"/>
        </w:rPr>
        <w:t xml:space="preserve">LIESTE DES </w:t>
      </w:r>
      <w:r w:rsidR="00D43F43" w:rsidRPr="00C649A0">
        <w:rPr>
          <w:rFonts w:ascii="Century Gothic" w:hAnsi="Century Gothic"/>
          <w:b/>
          <w:sz w:val="28"/>
          <w:u w:val="single"/>
        </w:rPr>
        <w:t xml:space="preserve">PRODUITS, </w:t>
      </w:r>
      <w:r>
        <w:rPr>
          <w:rFonts w:ascii="Century Gothic" w:hAnsi="Century Gothic"/>
          <w:b/>
          <w:sz w:val="28"/>
          <w:u w:val="single"/>
        </w:rPr>
        <w:t xml:space="preserve">DES </w:t>
      </w:r>
      <w:r w:rsidR="00D43F43" w:rsidRPr="00C649A0">
        <w:rPr>
          <w:rFonts w:ascii="Century Gothic" w:hAnsi="Century Gothic"/>
          <w:b/>
          <w:sz w:val="28"/>
          <w:u w:val="single"/>
        </w:rPr>
        <w:t xml:space="preserve">EQUIPEMENT ET </w:t>
      </w:r>
      <w:r>
        <w:rPr>
          <w:rFonts w:ascii="Century Gothic" w:hAnsi="Century Gothic"/>
          <w:b/>
          <w:sz w:val="28"/>
          <w:u w:val="single"/>
        </w:rPr>
        <w:t xml:space="preserve">DES </w:t>
      </w:r>
      <w:r w:rsidR="00D43F43" w:rsidRPr="00C649A0">
        <w:rPr>
          <w:rFonts w:ascii="Century Gothic" w:hAnsi="Century Gothic"/>
          <w:b/>
          <w:sz w:val="28"/>
          <w:u w:val="single"/>
        </w:rPr>
        <w:t>MATERIAUX RECUPERES</w:t>
      </w:r>
      <w:r w:rsidR="002F22DE" w:rsidRPr="00C649A0">
        <w:rPr>
          <w:rFonts w:ascii="Century Gothic" w:hAnsi="Century Gothic"/>
          <w:b/>
          <w:sz w:val="28"/>
          <w:u w:val="single"/>
        </w:rPr>
        <w:t xml:space="preserve"> PAR LA REGIE DE L’EPSM MORBIHAN</w:t>
      </w:r>
    </w:p>
    <w:p w:rsidR="00003A09" w:rsidRDefault="00003A09" w:rsidP="00930E6A">
      <w:pPr>
        <w:spacing w:before="100" w:beforeAutospacing="1" w:after="100" w:afterAutospacing="1" w:line="240" w:lineRule="auto"/>
        <w:jc w:val="both"/>
        <w:rPr>
          <w:rFonts w:ascii="Century Gothic" w:hAnsi="Century Gothic"/>
        </w:rPr>
      </w:pPr>
    </w:p>
    <w:p w:rsidR="004D5E53" w:rsidRDefault="004D5E53" w:rsidP="00930E6A">
      <w:pPr>
        <w:spacing w:before="100" w:beforeAutospacing="1" w:after="100" w:afterAutospacing="1" w:line="240" w:lineRule="auto"/>
        <w:jc w:val="both"/>
        <w:rPr>
          <w:rFonts w:ascii="Century Gothic" w:hAnsi="Century Gothic"/>
        </w:rPr>
      </w:pPr>
      <w:bookmarkStart w:id="0" w:name="_GoBack"/>
      <w:bookmarkEnd w:id="0"/>
    </w:p>
    <w:p w:rsidR="00930E6A" w:rsidRDefault="00930E6A" w:rsidP="00930E6A">
      <w:pPr>
        <w:spacing w:before="100" w:beforeAutospacing="1" w:after="100" w:afterAutospacing="1" w:line="240" w:lineRule="auto"/>
        <w:jc w:val="both"/>
        <w:rPr>
          <w:rFonts w:ascii="Century Gothic" w:hAnsi="Century Gothic"/>
        </w:rPr>
      </w:pPr>
      <w:r w:rsidRPr="00930E6A">
        <w:rPr>
          <w:rFonts w:ascii="Century Gothic" w:hAnsi="Century Gothic"/>
        </w:rPr>
        <w:t xml:space="preserve">Dans le cadre de sa démarche de transition écologique en santé, </w:t>
      </w:r>
      <w:r>
        <w:rPr>
          <w:rFonts w:ascii="Century Gothic" w:hAnsi="Century Gothic"/>
        </w:rPr>
        <w:t>l’EPSM MORBIHAN</w:t>
      </w:r>
      <w:r w:rsidRPr="00930E6A">
        <w:rPr>
          <w:rFonts w:ascii="Century Gothic" w:hAnsi="Century Gothic"/>
        </w:rPr>
        <w:t xml:space="preserve"> s’est engagé à réduire son empreinte environnementale et à optimiser la gestion de ses ressources, conformément à son </w:t>
      </w:r>
      <w:r>
        <w:rPr>
          <w:rFonts w:ascii="Century Gothic" w:hAnsi="Century Gothic"/>
        </w:rPr>
        <w:t>Schéma D</w:t>
      </w:r>
      <w:r w:rsidRPr="00930E6A">
        <w:rPr>
          <w:rFonts w:ascii="Century Gothic" w:hAnsi="Century Gothic"/>
        </w:rPr>
        <w:t xml:space="preserve">irecteur </w:t>
      </w:r>
      <w:r>
        <w:rPr>
          <w:rFonts w:ascii="Century Gothic" w:hAnsi="Century Gothic"/>
        </w:rPr>
        <w:t xml:space="preserve">Immobilier et Environnement </w:t>
      </w:r>
      <w:r w:rsidRPr="00930E6A">
        <w:rPr>
          <w:rFonts w:ascii="Century Gothic" w:hAnsi="Century Gothic"/>
        </w:rPr>
        <w:t xml:space="preserve">à </w:t>
      </w:r>
      <w:r>
        <w:rPr>
          <w:rFonts w:ascii="Century Gothic" w:hAnsi="Century Gothic"/>
        </w:rPr>
        <w:t>E</w:t>
      </w:r>
      <w:r w:rsidRPr="00930E6A">
        <w:rPr>
          <w:rFonts w:ascii="Century Gothic" w:hAnsi="Century Gothic"/>
        </w:rPr>
        <w:t xml:space="preserve">nergie </w:t>
      </w:r>
      <w:r>
        <w:rPr>
          <w:rFonts w:ascii="Century Gothic" w:hAnsi="Century Gothic"/>
        </w:rPr>
        <w:t>P</w:t>
      </w:r>
      <w:r w:rsidRPr="00930E6A">
        <w:rPr>
          <w:rFonts w:ascii="Century Gothic" w:hAnsi="Century Gothic"/>
        </w:rPr>
        <w:t>ositive</w:t>
      </w:r>
      <w:r>
        <w:rPr>
          <w:rFonts w:ascii="Century Gothic" w:hAnsi="Century Gothic"/>
        </w:rPr>
        <w:t xml:space="preserve"> (SDIE+)</w:t>
      </w:r>
      <w:r w:rsidRPr="00930E6A">
        <w:rPr>
          <w:rFonts w:ascii="Century Gothic" w:hAnsi="Century Gothic"/>
        </w:rPr>
        <w:t>. Cette vision s’inscrit dans une logique de développement durable, visant à concilier performance opérationnelle, responsabilité sociale et préservation des ressources.</w:t>
      </w:r>
    </w:p>
    <w:p w:rsidR="00930E6A" w:rsidRPr="00930E6A" w:rsidRDefault="00930E6A" w:rsidP="00930E6A">
      <w:pPr>
        <w:spacing w:before="100" w:beforeAutospacing="1" w:after="100" w:afterAutospacing="1" w:line="240" w:lineRule="auto"/>
        <w:jc w:val="both"/>
        <w:rPr>
          <w:rFonts w:ascii="Century Gothic" w:hAnsi="Century Gothic"/>
        </w:rPr>
      </w:pPr>
      <w:r w:rsidRPr="00930E6A">
        <w:rPr>
          <w:rFonts w:ascii="Century Gothic" w:hAnsi="Century Gothic"/>
        </w:rPr>
        <w:t>La démolition de bâtiment</w:t>
      </w:r>
      <w:r w:rsidR="0028582B">
        <w:rPr>
          <w:rFonts w:ascii="Century Gothic" w:hAnsi="Century Gothic"/>
        </w:rPr>
        <w:t>s dans le cadre de la construction de notre nouvelle clinique d’hospitalisation</w:t>
      </w:r>
      <w:r w:rsidRPr="00930E6A">
        <w:rPr>
          <w:rFonts w:ascii="Century Gothic" w:hAnsi="Century Gothic"/>
        </w:rPr>
        <w:t xml:space="preserve"> représente une opportunité majeure pour réduire les déchets, limiter l’extraction de nouvelles ressources et promouvoir une économie circulaire. En effet, de nombreux matériaux équipements et produits issus de ces structures conservent une valeur d’usage et peuvent être réemployés ou recyclés.</w:t>
      </w:r>
    </w:p>
    <w:p w:rsidR="00930E6A" w:rsidRPr="00930E6A" w:rsidRDefault="00930E6A" w:rsidP="00930E6A">
      <w:pPr>
        <w:spacing w:before="100" w:beforeAutospacing="1" w:after="100" w:afterAutospacing="1" w:line="240" w:lineRule="auto"/>
        <w:jc w:val="both"/>
        <w:rPr>
          <w:rFonts w:ascii="Century Gothic" w:hAnsi="Century Gothic"/>
        </w:rPr>
      </w:pPr>
      <w:r w:rsidRPr="00930E6A">
        <w:rPr>
          <w:rFonts w:ascii="Century Gothic" w:hAnsi="Century Gothic"/>
        </w:rPr>
        <w:t xml:space="preserve">Dans ce contexte, la campagne de dépose sélective que nous </w:t>
      </w:r>
      <w:r w:rsidR="000E7BC2">
        <w:rPr>
          <w:rFonts w:ascii="Century Gothic" w:hAnsi="Century Gothic"/>
        </w:rPr>
        <w:t>réaliserons</w:t>
      </w:r>
      <w:r w:rsidRPr="00930E6A">
        <w:rPr>
          <w:rFonts w:ascii="Century Gothic" w:hAnsi="Century Gothic"/>
        </w:rPr>
        <w:t xml:space="preserve"> s’articule autour de deux objectifs principaux :</w:t>
      </w:r>
    </w:p>
    <w:p w:rsidR="00930E6A" w:rsidRPr="00930E6A" w:rsidRDefault="00930E6A" w:rsidP="00930E6A">
      <w:pPr>
        <w:numPr>
          <w:ilvl w:val="0"/>
          <w:numId w:val="1"/>
        </w:numPr>
        <w:spacing w:before="100" w:beforeAutospacing="1" w:after="100" w:afterAutospacing="1" w:line="240" w:lineRule="auto"/>
        <w:jc w:val="both"/>
        <w:rPr>
          <w:rFonts w:ascii="Century Gothic" w:hAnsi="Century Gothic"/>
        </w:rPr>
      </w:pPr>
      <w:r w:rsidRPr="00930E6A">
        <w:rPr>
          <w:rFonts w:ascii="Century Gothic" w:hAnsi="Century Gothic"/>
        </w:rPr>
        <w:t>Alimenter le stock stratégique de maintenance de l’établissement, afin de réduire les coûts d’approvisionnement et de garantir une disponibilité rapide des pièces et matériaux pour les opérations courantes.</w:t>
      </w:r>
    </w:p>
    <w:p w:rsidR="00930E6A" w:rsidRPr="00930E6A" w:rsidRDefault="00930E6A" w:rsidP="00930E6A">
      <w:pPr>
        <w:numPr>
          <w:ilvl w:val="0"/>
          <w:numId w:val="1"/>
        </w:numPr>
        <w:spacing w:before="100" w:beforeAutospacing="1" w:after="100" w:afterAutospacing="1" w:line="240" w:lineRule="auto"/>
        <w:jc w:val="both"/>
        <w:rPr>
          <w:rFonts w:ascii="Century Gothic" w:hAnsi="Century Gothic"/>
        </w:rPr>
      </w:pPr>
      <w:r w:rsidRPr="00930E6A">
        <w:rPr>
          <w:rFonts w:ascii="Century Gothic" w:hAnsi="Century Gothic"/>
        </w:rPr>
        <w:t>Réemployer ces ressources dans d’autres projets de l’établissement</w:t>
      </w:r>
      <w:r w:rsidR="00295798">
        <w:rPr>
          <w:rFonts w:ascii="Century Gothic" w:hAnsi="Century Gothic"/>
        </w:rPr>
        <w:t xml:space="preserve"> dans le cadre du SDIE+</w:t>
      </w:r>
      <w:r w:rsidRPr="00930E6A">
        <w:rPr>
          <w:rFonts w:ascii="Century Gothic" w:hAnsi="Century Gothic"/>
        </w:rPr>
        <w:t>, afin de limiter les achats neufs et de favoriser une gestion sobre des ressources.</w:t>
      </w:r>
    </w:p>
    <w:p w:rsidR="002F22DE" w:rsidRDefault="002F22DE" w:rsidP="002F22DE">
      <w:pPr>
        <w:rPr>
          <w:rFonts w:ascii="Century Gothic" w:hAnsi="Century Gothic"/>
        </w:rPr>
      </w:pPr>
      <w:r w:rsidRPr="00C649A0">
        <w:rPr>
          <w:rFonts w:ascii="Century Gothic" w:hAnsi="Century Gothic"/>
        </w:rPr>
        <w:t>Les éléments identifiés par la régie pour récupération sont les suivantes</w:t>
      </w:r>
      <w:r w:rsidR="0028582B">
        <w:rPr>
          <w:rFonts w:ascii="Century Gothic" w:hAnsi="Century Gothic"/>
        </w:rPr>
        <w:t> :</w:t>
      </w:r>
    </w:p>
    <w:p w:rsidR="0028582B" w:rsidRPr="00C649A0" w:rsidRDefault="0028582B" w:rsidP="002F22DE">
      <w:pPr>
        <w:rPr>
          <w:rFonts w:ascii="Century Gothic" w:hAnsi="Century Gothic"/>
        </w:rPr>
      </w:pPr>
    </w:p>
    <w:tbl>
      <w:tblPr>
        <w:tblStyle w:val="TableauListe4-Accentuation5"/>
        <w:tblW w:w="0" w:type="auto"/>
        <w:tblLook w:val="04A0" w:firstRow="1" w:lastRow="0" w:firstColumn="1" w:lastColumn="0" w:noHBand="0" w:noVBand="1"/>
      </w:tblPr>
      <w:tblGrid>
        <w:gridCol w:w="1555"/>
        <w:gridCol w:w="2409"/>
        <w:gridCol w:w="2660"/>
        <w:gridCol w:w="2438"/>
      </w:tblGrid>
      <w:tr w:rsidR="00D43F43" w:rsidTr="000E7B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rsidR="00D43F43" w:rsidRDefault="00D43F43" w:rsidP="00C649A0">
            <w:pPr>
              <w:jc w:val="center"/>
              <w:rPr>
                <w:sz w:val="24"/>
              </w:rPr>
            </w:pPr>
            <w:r>
              <w:rPr>
                <w:sz w:val="24"/>
              </w:rPr>
              <w:t>Localisation</w:t>
            </w:r>
          </w:p>
        </w:tc>
        <w:tc>
          <w:tcPr>
            <w:tcW w:w="2409" w:type="dxa"/>
          </w:tcPr>
          <w:p w:rsidR="00D43F43" w:rsidRDefault="00D43F43" w:rsidP="00C649A0">
            <w:pPr>
              <w:jc w:val="center"/>
              <w:cnfStyle w:val="100000000000" w:firstRow="1" w:lastRow="0" w:firstColumn="0" w:lastColumn="0" w:oddVBand="0" w:evenVBand="0" w:oddHBand="0" w:evenHBand="0" w:firstRowFirstColumn="0" w:firstRowLastColumn="0" w:lastRowFirstColumn="0" w:lastRowLastColumn="0"/>
              <w:rPr>
                <w:sz w:val="24"/>
              </w:rPr>
            </w:pPr>
            <w:r>
              <w:rPr>
                <w:sz w:val="24"/>
              </w:rPr>
              <w:t>Catégories de PEM</w:t>
            </w:r>
          </w:p>
        </w:tc>
        <w:tc>
          <w:tcPr>
            <w:tcW w:w="2660" w:type="dxa"/>
          </w:tcPr>
          <w:p w:rsidR="00D43F43" w:rsidRDefault="00D43F43" w:rsidP="00C649A0">
            <w:pPr>
              <w:jc w:val="center"/>
              <w:cnfStyle w:val="100000000000" w:firstRow="1" w:lastRow="0" w:firstColumn="0" w:lastColumn="0" w:oddVBand="0" w:evenVBand="0" w:oddHBand="0" w:evenHBand="0" w:firstRowFirstColumn="0" w:firstRowLastColumn="0" w:lastRowFirstColumn="0" w:lastRowLastColumn="0"/>
              <w:rPr>
                <w:sz w:val="24"/>
              </w:rPr>
            </w:pPr>
            <w:r>
              <w:rPr>
                <w:sz w:val="24"/>
              </w:rPr>
              <w:t>Description</w:t>
            </w:r>
          </w:p>
        </w:tc>
        <w:tc>
          <w:tcPr>
            <w:tcW w:w="2438" w:type="dxa"/>
          </w:tcPr>
          <w:p w:rsidR="00D43F43" w:rsidRDefault="00D43F43" w:rsidP="00C649A0">
            <w:pPr>
              <w:jc w:val="center"/>
              <w:cnfStyle w:val="100000000000" w:firstRow="1" w:lastRow="0" w:firstColumn="0" w:lastColumn="0" w:oddVBand="0" w:evenVBand="0" w:oddHBand="0" w:evenHBand="0" w:firstRowFirstColumn="0" w:firstRowLastColumn="0" w:lastRowFirstColumn="0" w:lastRowLastColumn="0"/>
              <w:rPr>
                <w:sz w:val="24"/>
              </w:rPr>
            </w:pPr>
            <w:r>
              <w:rPr>
                <w:sz w:val="24"/>
              </w:rPr>
              <w:t>Taux de récupération</w:t>
            </w:r>
          </w:p>
        </w:tc>
      </w:tr>
      <w:tr w:rsidR="00A34F7E" w:rsidTr="000E7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rsidR="00A34F7E" w:rsidRPr="00093FCC" w:rsidRDefault="00A34F7E" w:rsidP="000E7BC2">
            <w:pPr>
              <w:jc w:val="center"/>
              <w:rPr>
                <w:rFonts w:cstheme="minorHAnsi"/>
                <w:b w:val="0"/>
                <w:bCs w:val="0"/>
                <w:sz w:val="16"/>
              </w:rPr>
            </w:pPr>
            <w:r w:rsidRPr="00093FCC">
              <w:rPr>
                <w:rFonts w:cstheme="minorHAnsi"/>
                <w:b w:val="0"/>
                <w:bCs w:val="0"/>
                <w:sz w:val="16"/>
              </w:rPr>
              <w:t>3A-B</w:t>
            </w:r>
          </w:p>
        </w:tc>
        <w:tc>
          <w:tcPr>
            <w:tcW w:w="2409" w:type="dxa"/>
            <w:vAlign w:val="center"/>
          </w:tcPr>
          <w:p w:rsidR="00A34F7E" w:rsidRPr="00093FCC" w:rsidRDefault="00A34F7E" w:rsidP="000E7BC2">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 xml:space="preserve">Équipements de chauffage (chaudières, radiateurs à eau, radiateurs électriques, </w:t>
            </w:r>
            <w:proofErr w:type="spellStart"/>
            <w:r w:rsidRPr="00093FCC">
              <w:rPr>
                <w:rFonts w:cstheme="minorHAnsi"/>
                <w:sz w:val="16"/>
              </w:rPr>
              <w:t>etc</w:t>
            </w:r>
            <w:proofErr w:type="spellEnd"/>
            <w:r w:rsidRPr="00093FCC">
              <w:rPr>
                <w:rFonts w:cstheme="minorHAnsi"/>
                <w:sz w:val="16"/>
              </w:rPr>
              <w:t>)</w:t>
            </w:r>
          </w:p>
        </w:tc>
        <w:tc>
          <w:tcPr>
            <w:tcW w:w="2660" w:type="dxa"/>
            <w:vAlign w:val="center"/>
          </w:tcPr>
          <w:p w:rsidR="00A34F7E" w:rsidRPr="00093FCC" w:rsidRDefault="00A34F7E" w:rsidP="000E7BC2">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Radiateur</w:t>
            </w:r>
          </w:p>
        </w:tc>
        <w:tc>
          <w:tcPr>
            <w:tcW w:w="2438" w:type="dxa"/>
            <w:vAlign w:val="center"/>
          </w:tcPr>
          <w:p w:rsidR="00A34F7E" w:rsidRPr="001856E3" w:rsidRDefault="001856E3" w:rsidP="001856E3">
            <w:pPr>
              <w:jc w:val="center"/>
              <w:cnfStyle w:val="000000100000" w:firstRow="0" w:lastRow="0" w:firstColumn="0" w:lastColumn="0" w:oddVBand="0" w:evenVBand="0" w:oddHBand="1" w:evenHBand="0" w:firstRowFirstColumn="0" w:firstRowLastColumn="0" w:lastRowFirstColumn="0" w:lastRowLastColumn="0"/>
              <w:rPr>
                <w:rFonts w:cstheme="minorHAnsi"/>
                <w:strike/>
                <w:sz w:val="16"/>
              </w:rPr>
            </w:pPr>
            <w:r w:rsidRPr="001856E3">
              <w:rPr>
                <w:rFonts w:cstheme="minorHAnsi"/>
                <w:sz w:val="16"/>
              </w:rPr>
              <w:t xml:space="preserve"> 50%</w:t>
            </w:r>
          </w:p>
        </w:tc>
      </w:tr>
      <w:tr w:rsidR="000F517D" w:rsidTr="000E7BC2">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0E7BC2">
            <w:pPr>
              <w:jc w:val="center"/>
              <w:rPr>
                <w:rFonts w:cstheme="minorHAnsi"/>
                <w:b w:val="0"/>
                <w:bCs w:val="0"/>
                <w:sz w:val="16"/>
              </w:rPr>
            </w:pPr>
          </w:p>
        </w:tc>
        <w:tc>
          <w:tcPr>
            <w:tcW w:w="2409" w:type="dxa"/>
            <w:vMerge w:val="restart"/>
            <w:vAlign w:val="center"/>
          </w:tcPr>
          <w:p w:rsidR="000F517D" w:rsidRPr="00093FCC" w:rsidRDefault="000F517D" w:rsidP="000E7BC2">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Appareils sanitaires (lavabo, WC, vidoirs, urinoirs, vasques, éviers, mitigeurs, </w:t>
            </w:r>
            <w:proofErr w:type="spellStart"/>
            <w:r>
              <w:rPr>
                <w:rFonts w:cstheme="minorHAnsi"/>
                <w:sz w:val="16"/>
              </w:rPr>
              <w:t>etc</w:t>
            </w:r>
            <w:proofErr w:type="spellEnd"/>
            <w:r>
              <w:rPr>
                <w:rFonts w:cstheme="minorHAnsi"/>
                <w:sz w:val="16"/>
              </w:rPr>
              <w:t>)</w:t>
            </w:r>
          </w:p>
        </w:tc>
        <w:tc>
          <w:tcPr>
            <w:tcW w:w="2660" w:type="dxa"/>
            <w:vAlign w:val="center"/>
          </w:tcPr>
          <w:p w:rsidR="000F517D" w:rsidRPr="00093FCC" w:rsidRDefault="000F517D" w:rsidP="000E7BC2">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Robinetterie</w:t>
            </w:r>
          </w:p>
        </w:tc>
        <w:tc>
          <w:tcPr>
            <w:tcW w:w="2438" w:type="dxa"/>
            <w:vAlign w:val="center"/>
          </w:tcPr>
          <w:p w:rsidR="000F517D" w:rsidRPr="00093FCC" w:rsidRDefault="001856E3" w:rsidP="000E7BC2">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5%</w:t>
            </w:r>
          </w:p>
        </w:tc>
      </w:tr>
      <w:tr w:rsidR="000F517D" w:rsidTr="000E7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0E7BC2">
            <w:pPr>
              <w:jc w:val="center"/>
              <w:rPr>
                <w:rFonts w:cstheme="minorHAnsi"/>
                <w:b w:val="0"/>
                <w:bCs w:val="0"/>
                <w:sz w:val="16"/>
              </w:rPr>
            </w:pPr>
          </w:p>
        </w:tc>
        <w:tc>
          <w:tcPr>
            <w:tcW w:w="2409" w:type="dxa"/>
            <w:vMerge/>
            <w:vAlign w:val="center"/>
          </w:tcPr>
          <w:p w:rsidR="000F517D" w:rsidRDefault="000F517D" w:rsidP="000E7BC2">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p>
        </w:tc>
        <w:tc>
          <w:tcPr>
            <w:tcW w:w="2660" w:type="dxa"/>
            <w:vAlign w:val="center"/>
          </w:tcPr>
          <w:p w:rsidR="000F517D" w:rsidRPr="00093FCC" w:rsidRDefault="000F517D" w:rsidP="000E7BC2">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WC (cuvette et réservoir) - porcelaine</w:t>
            </w:r>
          </w:p>
        </w:tc>
        <w:tc>
          <w:tcPr>
            <w:tcW w:w="2438" w:type="dxa"/>
            <w:vAlign w:val="center"/>
          </w:tcPr>
          <w:p w:rsidR="000F517D" w:rsidRPr="00093FCC" w:rsidRDefault="001856E3" w:rsidP="000E7BC2">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1%</w:t>
            </w:r>
          </w:p>
        </w:tc>
      </w:tr>
      <w:tr w:rsidR="000F517D" w:rsidTr="000E7BC2">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0E7BC2">
            <w:pPr>
              <w:jc w:val="center"/>
              <w:rPr>
                <w:rFonts w:cstheme="minorHAnsi"/>
                <w:b w:val="0"/>
                <w:bCs w:val="0"/>
                <w:sz w:val="16"/>
              </w:rPr>
            </w:pPr>
          </w:p>
        </w:tc>
        <w:tc>
          <w:tcPr>
            <w:tcW w:w="2409" w:type="dxa"/>
            <w:vAlign w:val="center"/>
          </w:tcPr>
          <w:p w:rsidR="000F517D" w:rsidRPr="00093FCC" w:rsidRDefault="000F517D" w:rsidP="000E7BC2">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Appareils d’éclairage</w:t>
            </w:r>
          </w:p>
        </w:tc>
        <w:tc>
          <w:tcPr>
            <w:tcW w:w="2660" w:type="dxa"/>
            <w:vAlign w:val="center"/>
          </w:tcPr>
          <w:p w:rsidR="000F517D" w:rsidRPr="00093FCC" w:rsidRDefault="000F517D" w:rsidP="000F517D">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Applique murale et plafonnier</w:t>
            </w:r>
          </w:p>
        </w:tc>
        <w:tc>
          <w:tcPr>
            <w:tcW w:w="2438" w:type="dxa"/>
            <w:vAlign w:val="center"/>
          </w:tcPr>
          <w:p w:rsidR="000F517D" w:rsidRPr="00093FCC" w:rsidRDefault="001856E3" w:rsidP="000E7BC2">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20%</w:t>
            </w:r>
          </w:p>
        </w:tc>
      </w:tr>
      <w:tr w:rsidR="00A34F7E" w:rsidTr="000E7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A34F7E" w:rsidRPr="00093FCC" w:rsidRDefault="00A34F7E" w:rsidP="00A34F7E">
            <w:pPr>
              <w:jc w:val="center"/>
              <w:rPr>
                <w:rFonts w:cstheme="minorHAnsi"/>
                <w:b w:val="0"/>
                <w:bCs w:val="0"/>
                <w:sz w:val="16"/>
              </w:rPr>
            </w:pPr>
          </w:p>
        </w:tc>
        <w:tc>
          <w:tcPr>
            <w:tcW w:w="2409" w:type="dxa"/>
            <w:vAlign w:val="center"/>
          </w:tcPr>
          <w:p w:rsidR="00A34F7E" w:rsidRDefault="00A34F7E" w:rsidP="00A34F7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Tableau général basse tension et armoires divisionnaires</w:t>
            </w:r>
          </w:p>
        </w:tc>
        <w:tc>
          <w:tcPr>
            <w:tcW w:w="2660" w:type="dxa"/>
            <w:vAlign w:val="center"/>
          </w:tcPr>
          <w:p w:rsidR="00A34F7E" w:rsidRDefault="00A34F7E" w:rsidP="000F517D">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Tableau électrique - équipé</w:t>
            </w:r>
          </w:p>
        </w:tc>
        <w:tc>
          <w:tcPr>
            <w:tcW w:w="2438" w:type="dxa"/>
            <w:vAlign w:val="center"/>
          </w:tcPr>
          <w:p w:rsidR="00A34F7E" w:rsidRPr="00093FCC" w:rsidRDefault="001856E3" w:rsidP="00A34F7E">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15-20%</w:t>
            </w:r>
          </w:p>
        </w:tc>
      </w:tr>
      <w:tr w:rsidR="00A34F7E" w:rsidTr="000E7BC2">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A34F7E" w:rsidRPr="00093FCC" w:rsidRDefault="00A34F7E" w:rsidP="00A34F7E">
            <w:pPr>
              <w:jc w:val="center"/>
              <w:rPr>
                <w:rFonts w:cstheme="minorHAnsi"/>
                <w:b w:val="0"/>
                <w:bCs w:val="0"/>
                <w:sz w:val="16"/>
              </w:rPr>
            </w:pPr>
          </w:p>
        </w:tc>
        <w:tc>
          <w:tcPr>
            <w:tcW w:w="2409" w:type="dxa"/>
            <w:vAlign w:val="center"/>
          </w:tcPr>
          <w:p w:rsidR="00A34F7E" w:rsidRDefault="00A34F7E" w:rsidP="00A34F7E">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Armoire VDI / baies informatiques</w:t>
            </w:r>
          </w:p>
        </w:tc>
        <w:tc>
          <w:tcPr>
            <w:tcW w:w="2660" w:type="dxa"/>
            <w:vAlign w:val="center"/>
          </w:tcPr>
          <w:p w:rsidR="00A34F7E" w:rsidRDefault="00A34F7E" w:rsidP="000F517D">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Baie de brassage vide et non vide</w:t>
            </w:r>
          </w:p>
        </w:tc>
        <w:tc>
          <w:tcPr>
            <w:tcW w:w="2438" w:type="dxa"/>
            <w:vAlign w:val="center"/>
          </w:tcPr>
          <w:p w:rsidR="00A34F7E" w:rsidRPr="00093FCC" w:rsidRDefault="001856E3" w:rsidP="00A34F7E">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100%</w:t>
            </w:r>
          </w:p>
        </w:tc>
      </w:tr>
      <w:tr w:rsidR="000F517D" w:rsidTr="000E7B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A34F7E" w:rsidRPr="00093FCC" w:rsidRDefault="00A34F7E" w:rsidP="00A34F7E">
            <w:pPr>
              <w:jc w:val="center"/>
              <w:rPr>
                <w:rFonts w:cstheme="minorHAnsi"/>
                <w:b w:val="0"/>
                <w:bCs w:val="0"/>
                <w:sz w:val="16"/>
              </w:rPr>
            </w:pPr>
          </w:p>
        </w:tc>
        <w:tc>
          <w:tcPr>
            <w:tcW w:w="2409" w:type="dxa"/>
            <w:vAlign w:val="center"/>
          </w:tcPr>
          <w:p w:rsidR="00A34F7E" w:rsidRDefault="00A34F7E" w:rsidP="00A34F7E">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 xml:space="preserve">Équipements terminaux (interrupteurs, prises, </w:t>
            </w:r>
            <w:proofErr w:type="spellStart"/>
            <w:r>
              <w:rPr>
                <w:rFonts w:eastAsia="Calibri" w:cs="Calibri"/>
                <w:color w:val="000000" w:themeColor="text1"/>
                <w:sz w:val="16"/>
                <w:szCs w:val="16"/>
              </w:rPr>
              <w:t>etc</w:t>
            </w:r>
            <w:proofErr w:type="spellEnd"/>
            <w:r>
              <w:rPr>
                <w:rFonts w:eastAsia="Calibri" w:cs="Calibri"/>
                <w:color w:val="000000" w:themeColor="text1"/>
                <w:sz w:val="16"/>
                <w:szCs w:val="16"/>
              </w:rPr>
              <w:t>)</w:t>
            </w:r>
          </w:p>
        </w:tc>
        <w:tc>
          <w:tcPr>
            <w:tcW w:w="2660" w:type="dxa"/>
            <w:vAlign w:val="center"/>
          </w:tcPr>
          <w:p w:rsidR="00A34F7E" w:rsidRDefault="00A34F7E" w:rsidP="000F517D">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Prise de courant / interrupteur</w:t>
            </w:r>
          </w:p>
        </w:tc>
        <w:tc>
          <w:tcPr>
            <w:tcW w:w="2438" w:type="dxa"/>
            <w:vAlign w:val="center"/>
          </w:tcPr>
          <w:p w:rsidR="00A34F7E" w:rsidRPr="00093FCC" w:rsidRDefault="001856E3" w:rsidP="00A34F7E">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5%</w:t>
            </w:r>
          </w:p>
        </w:tc>
      </w:tr>
      <w:tr w:rsidR="000F517D" w:rsidTr="00EC0807">
        <w:tc>
          <w:tcPr>
            <w:cnfStyle w:val="001000000000" w:firstRow="0" w:lastRow="0" w:firstColumn="1" w:lastColumn="0" w:oddVBand="0" w:evenVBand="0" w:oddHBand="0" w:evenHBand="0" w:firstRowFirstColumn="0" w:firstRowLastColumn="0" w:lastRowFirstColumn="0" w:lastRowLastColumn="0"/>
            <w:tcW w:w="1555" w:type="dxa"/>
            <w:vMerge/>
          </w:tcPr>
          <w:p w:rsidR="00A34F7E" w:rsidRPr="00093FCC" w:rsidRDefault="00A34F7E" w:rsidP="00A34F7E">
            <w:pPr>
              <w:rPr>
                <w:rFonts w:cstheme="minorHAnsi"/>
                <w:b w:val="0"/>
                <w:bCs w:val="0"/>
                <w:sz w:val="16"/>
              </w:rPr>
            </w:pPr>
          </w:p>
        </w:tc>
        <w:tc>
          <w:tcPr>
            <w:tcW w:w="2409" w:type="dxa"/>
            <w:vAlign w:val="center"/>
          </w:tcPr>
          <w:p w:rsidR="00A34F7E" w:rsidRDefault="00A34F7E" w:rsidP="00A34F7E">
            <w:pPr>
              <w:widowControl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6"/>
                <w:szCs w:val="16"/>
              </w:rPr>
            </w:pPr>
            <w:r>
              <w:rPr>
                <w:rFonts w:eastAsia="Calibri" w:cs="Calibri"/>
                <w:color w:val="000000" w:themeColor="text1"/>
                <w:sz w:val="16"/>
                <w:szCs w:val="16"/>
              </w:rPr>
              <w:t>Équipements spécifiques (caméras, bornes Wi-Fi, équipements GTB, contrôles d'accès, etc.)</w:t>
            </w:r>
          </w:p>
        </w:tc>
        <w:tc>
          <w:tcPr>
            <w:tcW w:w="2660" w:type="dxa"/>
          </w:tcPr>
          <w:p w:rsidR="00A34F7E" w:rsidRPr="00093FCC" w:rsidRDefault="00A34F7E" w:rsidP="000F517D">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Caméra de surveillance</w:t>
            </w:r>
          </w:p>
        </w:tc>
        <w:tc>
          <w:tcPr>
            <w:tcW w:w="2438" w:type="dxa"/>
          </w:tcPr>
          <w:p w:rsidR="00A34F7E" w:rsidRPr="00093FCC" w:rsidRDefault="001856E3" w:rsidP="00A34F7E">
            <w:pP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                          100%</w:t>
            </w:r>
          </w:p>
        </w:tc>
      </w:tr>
      <w:tr w:rsidR="000F517D" w:rsidTr="004D42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A34F7E" w:rsidRPr="00093FCC" w:rsidRDefault="00A34F7E" w:rsidP="00A34F7E">
            <w:pPr>
              <w:jc w:val="center"/>
              <w:rPr>
                <w:rFonts w:cstheme="minorHAnsi"/>
                <w:b w:val="0"/>
                <w:bCs w:val="0"/>
                <w:sz w:val="16"/>
              </w:rPr>
            </w:pPr>
          </w:p>
        </w:tc>
        <w:tc>
          <w:tcPr>
            <w:tcW w:w="2409" w:type="dxa"/>
            <w:vAlign w:val="center"/>
          </w:tcPr>
          <w:p w:rsidR="00A34F7E" w:rsidRPr="00093FCC" w:rsidRDefault="00A34F7E" w:rsidP="00A34F7E">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Menuiseries intérieures</w:t>
            </w:r>
          </w:p>
        </w:tc>
        <w:tc>
          <w:tcPr>
            <w:tcW w:w="2660" w:type="dxa"/>
            <w:vAlign w:val="center"/>
          </w:tcPr>
          <w:p w:rsidR="00A34F7E" w:rsidRPr="00A34F7E" w:rsidRDefault="00A34F7E" w:rsidP="00A34F7E">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A34F7E">
              <w:rPr>
                <w:rFonts w:cstheme="minorHAnsi"/>
                <w:sz w:val="16"/>
              </w:rPr>
              <w:t xml:space="preserve">Serrurerie – Cylindres </w:t>
            </w:r>
            <w:proofErr w:type="spellStart"/>
            <w:r w:rsidRPr="00A34F7E">
              <w:rPr>
                <w:rFonts w:cstheme="minorHAnsi"/>
                <w:sz w:val="16"/>
              </w:rPr>
              <w:t>ext</w:t>
            </w:r>
            <w:proofErr w:type="spellEnd"/>
            <w:r w:rsidRPr="00A34F7E">
              <w:rPr>
                <w:rFonts w:cstheme="minorHAnsi"/>
                <w:sz w:val="16"/>
              </w:rPr>
              <w:t xml:space="preserve"> type DENYS</w:t>
            </w:r>
          </w:p>
        </w:tc>
        <w:tc>
          <w:tcPr>
            <w:tcW w:w="2438" w:type="dxa"/>
          </w:tcPr>
          <w:p w:rsidR="00A34F7E" w:rsidRPr="00A34F7E" w:rsidRDefault="00A34F7E" w:rsidP="00A34F7E">
            <w:pPr>
              <w:jc w:val="center"/>
              <w:cnfStyle w:val="000000100000" w:firstRow="0" w:lastRow="0" w:firstColumn="0" w:lastColumn="0" w:oddVBand="0" w:evenVBand="0" w:oddHBand="1" w:evenHBand="0" w:firstRowFirstColumn="0" w:firstRowLastColumn="0" w:lastRowFirstColumn="0" w:lastRowLastColumn="0"/>
            </w:pPr>
            <w:r w:rsidRPr="00A34F7E">
              <w:rPr>
                <w:rFonts w:cstheme="minorHAnsi"/>
                <w:sz w:val="16"/>
              </w:rPr>
              <w:t>100%</w:t>
            </w:r>
          </w:p>
        </w:tc>
      </w:tr>
    </w:tbl>
    <w:p w:rsidR="002F22DE" w:rsidRDefault="002F22DE" w:rsidP="002F22DE">
      <w:pPr>
        <w:rPr>
          <w:sz w:val="24"/>
        </w:rPr>
      </w:pPr>
    </w:p>
    <w:tbl>
      <w:tblPr>
        <w:tblStyle w:val="TableauListe4-Accentuation5"/>
        <w:tblW w:w="0" w:type="auto"/>
        <w:tblLook w:val="04A0" w:firstRow="1" w:lastRow="0" w:firstColumn="1" w:lastColumn="0" w:noHBand="0" w:noVBand="1"/>
      </w:tblPr>
      <w:tblGrid>
        <w:gridCol w:w="1555"/>
        <w:gridCol w:w="2409"/>
        <w:gridCol w:w="2660"/>
        <w:gridCol w:w="2438"/>
      </w:tblGrid>
      <w:tr w:rsidR="000F517D" w:rsidTr="007A4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rsidR="000F517D" w:rsidRDefault="000F517D" w:rsidP="007A4377">
            <w:pPr>
              <w:jc w:val="center"/>
              <w:rPr>
                <w:sz w:val="24"/>
              </w:rPr>
            </w:pPr>
            <w:r>
              <w:rPr>
                <w:sz w:val="24"/>
              </w:rPr>
              <w:lastRenderedPageBreak/>
              <w:t>Localisation</w:t>
            </w:r>
          </w:p>
        </w:tc>
        <w:tc>
          <w:tcPr>
            <w:tcW w:w="2409"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Catégories de PEM</w:t>
            </w:r>
          </w:p>
        </w:tc>
        <w:tc>
          <w:tcPr>
            <w:tcW w:w="2660"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Description</w:t>
            </w:r>
          </w:p>
        </w:tc>
        <w:tc>
          <w:tcPr>
            <w:tcW w:w="2438"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Taux de récupération</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rsidR="000F517D" w:rsidRPr="00093FCC" w:rsidRDefault="000F517D" w:rsidP="007A4377">
            <w:pPr>
              <w:jc w:val="center"/>
              <w:rPr>
                <w:rFonts w:cstheme="minorHAnsi"/>
                <w:b w:val="0"/>
                <w:bCs w:val="0"/>
                <w:sz w:val="16"/>
              </w:rPr>
            </w:pPr>
            <w:r>
              <w:rPr>
                <w:rFonts w:cstheme="minorHAnsi"/>
                <w:b w:val="0"/>
                <w:bCs w:val="0"/>
                <w:sz w:val="16"/>
              </w:rPr>
              <w:t>3C-D</w:t>
            </w:r>
          </w:p>
        </w:tc>
        <w:tc>
          <w:tcPr>
            <w:tcW w:w="2409"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 xml:space="preserve">Équipements de chauffage (chaudières, radiateurs à eau, radiateurs électriques, </w:t>
            </w:r>
            <w:proofErr w:type="spellStart"/>
            <w:r w:rsidRPr="00093FCC">
              <w:rPr>
                <w:rFonts w:cstheme="minorHAnsi"/>
                <w:sz w:val="16"/>
              </w:rPr>
              <w:t>etc</w:t>
            </w:r>
            <w:proofErr w:type="spellEnd"/>
            <w:r w:rsidRPr="00093FCC">
              <w:rPr>
                <w:rFonts w:cstheme="minorHAnsi"/>
                <w:sz w:val="16"/>
              </w:rPr>
              <w:t>)</w:t>
            </w: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Radiateur</w:t>
            </w:r>
          </w:p>
        </w:tc>
        <w:tc>
          <w:tcPr>
            <w:tcW w:w="2438"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10%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restart"/>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Appareils sanitaires (lavabo, WC, vidoirs, urinoirs, vasques, éviers, mitigeurs, </w:t>
            </w:r>
            <w:proofErr w:type="spellStart"/>
            <w:r>
              <w:rPr>
                <w:rFonts w:cstheme="minorHAnsi"/>
                <w:sz w:val="16"/>
              </w:rPr>
              <w:t>etc</w:t>
            </w:r>
            <w:proofErr w:type="spellEnd"/>
            <w:r>
              <w:rPr>
                <w:rFonts w:cstheme="minorHAnsi"/>
                <w:sz w:val="16"/>
              </w:rPr>
              <w:t>)</w:t>
            </w:r>
          </w:p>
        </w:tc>
        <w:tc>
          <w:tcPr>
            <w:tcW w:w="2660"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Robinetterie</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5%</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WC (cuvette et réservoir) - porcelaine</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1%</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Appareils d’éclairage</w:t>
            </w:r>
          </w:p>
        </w:tc>
        <w:tc>
          <w:tcPr>
            <w:tcW w:w="2660"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Applique murale et plafonnier</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20%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Distributions électriques</w:t>
            </w:r>
          </w:p>
        </w:tc>
        <w:tc>
          <w:tcPr>
            <w:tcW w:w="2660" w:type="dxa"/>
            <w:vAlign w:val="center"/>
          </w:tcPr>
          <w:p w:rsidR="000F517D" w:rsidRDefault="001856E3"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Goulotte P</w:t>
            </w:r>
            <w:r w:rsidR="000F517D">
              <w:rPr>
                <w:rFonts w:eastAsia="Calibri" w:cs="Calibri"/>
                <w:color w:val="000000" w:themeColor="text1"/>
                <w:sz w:val="16"/>
                <w:szCs w:val="16"/>
              </w:rPr>
              <w:t>VC</w:t>
            </w:r>
            <w:r>
              <w:rPr>
                <w:rFonts w:eastAsia="Calibri" w:cs="Calibri"/>
                <w:color w:val="000000" w:themeColor="text1"/>
                <w:sz w:val="16"/>
                <w:szCs w:val="16"/>
              </w:rPr>
              <w:t xml:space="preserve">    </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40-50%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Tableau général basse tension et armoires divisionnaires</w:t>
            </w:r>
          </w:p>
        </w:tc>
        <w:tc>
          <w:tcPr>
            <w:tcW w:w="2660" w:type="dxa"/>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Tableau électrique - équipé</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90%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Armoire VDI / baies informatiques</w:t>
            </w:r>
          </w:p>
        </w:tc>
        <w:tc>
          <w:tcPr>
            <w:tcW w:w="2660" w:type="dxa"/>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Baie de brassage vide et non vide</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100%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Systèmes de sécurité</w:t>
            </w:r>
          </w:p>
        </w:tc>
        <w:tc>
          <w:tcPr>
            <w:tcW w:w="2660"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Balise de secours</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80%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 xml:space="preserve">Équipements terminaux (interrupteurs, prises, </w:t>
            </w:r>
            <w:proofErr w:type="spellStart"/>
            <w:r>
              <w:rPr>
                <w:rFonts w:eastAsia="Calibri" w:cs="Calibri"/>
                <w:color w:val="000000" w:themeColor="text1"/>
                <w:sz w:val="16"/>
                <w:szCs w:val="16"/>
              </w:rPr>
              <w:t>etc</w:t>
            </w:r>
            <w:proofErr w:type="spellEnd"/>
            <w:r>
              <w:rPr>
                <w:rFonts w:eastAsia="Calibri" w:cs="Calibri"/>
                <w:color w:val="000000" w:themeColor="text1"/>
                <w:sz w:val="16"/>
                <w:szCs w:val="16"/>
              </w:rPr>
              <w:t>)</w:t>
            </w:r>
          </w:p>
        </w:tc>
        <w:tc>
          <w:tcPr>
            <w:tcW w:w="2660" w:type="dxa"/>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Prise de courant / interrupteur</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70-80%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tcPr>
          <w:p w:rsidR="000F517D" w:rsidRPr="00093FCC" w:rsidRDefault="000F517D" w:rsidP="007A4377">
            <w:pPr>
              <w:rPr>
                <w:rFonts w:cstheme="minorHAnsi"/>
                <w:b w:val="0"/>
                <w:bCs w:val="0"/>
                <w:sz w:val="16"/>
              </w:rPr>
            </w:pPr>
          </w:p>
        </w:tc>
        <w:tc>
          <w:tcPr>
            <w:tcW w:w="2409" w:type="dxa"/>
            <w:vAlign w:val="center"/>
          </w:tcPr>
          <w:p w:rsidR="000F517D" w:rsidRDefault="000F517D" w:rsidP="007A4377">
            <w:pPr>
              <w:widowControl w:val="0"/>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sz w:val="16"/>
                <w:szCs w:val="16"/>
              </w:rPr>
            </w:pPr>
            <w:r>
              <w:rPr>
                <w:rFonts w:eastAsia="Calibri" w:cs="Calibri"/>
                <w:color w:val="000000" w:themeColor="text1"/>
                <w:sz w:val="16"/>
                <w:szCs w:val="16"/>
              </w:rPr>
              <w:t>Équipements spécifiques (caméras, bornes Wi-Fi, équipements GTB, contrôles d'accès, etc.)</w:t>
            </w:r>
          </w:p>
        </w:tc>
        <w:tc>
          <w:tcPr>
            <w:tcW w:w="2660" w:type="dxa"/>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eastAsia="Calibri" w:cs="Calibri"/>
                <w:color w:val="000000" w:themeColor="text1"/>
                <w:sz w:val="16"/>
                <w:szCs w:val="16"/>
              </w:rPr>
              <w:t>Caméra de surveillance</w:t>
            </w:r>
          </w:p>
        </w:tc>
        <w:tc>
          <w:tcPr>
            <w:tcW w:w="2438" w:type="dxa"/>
          </w:tcPr>
          <w:p w:rsidR="000F517D" w:rsidRPr="00093FCC" w:rsidRDefault="001856E3" w:rsidP="007A4377">
            <w:pP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                          100%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Menuiseries intérieures</w:t>
            </w:r>
          </w:p>
        </w:tc>
        <w:tc>
          <w:tcPr>
            <w:tcW w:w="2660" w:type="dxa"/>
            <w:vAlign w:val="center"/>
          </w:tcPr>
          <w:p w:rsidR="000F517D" w:rsidRPr="00A34F7E"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A34F7E">
              <w:rPr>
                <w:rFonts w:cstheme="minorHAnsi"/>
                <w:sz w:val="16"/>
              </w:rPr>
              <w:t xml:space="preserve">Serrurerie – Cylindres </w:t>
            </w:r>
            <w:proofErr w:type="spellStart"/>
            <w:r w:rsidRPr="00A34F7E">
              <w:rPr>
                <w:rFonts w:cstheme="minorHAnsi"/>
                <w:sz w:val="16"/>
              </w:rPr>
              <w:t>ext</w:t>
            </w:r>
            <w:proofErr w:type="spellEnd"/>
            <w:r w:rsidRPr="00A34F7E">
              <w:rPr>
                <w:rFonts w:cstheme="minorHAnsi"/>
                <w:sz w:val="16"/>
              </w:rPr>
              <w:t xml:space="preserve"> type DENYS</w:t>
            </w:r>
          </w:p>
        </w:tc>
        <w:tc>
          <w:tcPr>
            <w:tcW w:w="2438" w:type="dxa"/>
          </w:tcPr>
          <w:p w:rsidR="000F517D" w:rsidRPr="00A34F7E" w:rsidRDefault="000F517D" w:rsidP="007A4377">
            <w:pPr>
              <w:jc w:val="center"/>
              <w:cnfStyle w:val="000000100000" w:firstRow="0" w:lastRow="0" w:firstColumn="0" w:lastColumn="0" w:oddVBand="0" w:evenVBand="0" w:oddHBand="1" w:evenHBand="0" w:firstRowFirstColumn="0" w:firstRowLastColumn="0" w:lastRowFirstColumn="0" w:lastRowLastColumn="0"/>
            </w:pPr>
            <w:r w:rsidRPr="00A34F7E">
              <w:rPr>
                <w:rFonts w:cstheme="minorHAnsi"/>
                <w:sz w:val="16"/>
              </w:rPr>
              <w:t>100%</w:t>
            </w:r>
          </w:p>
        </w:tc>
      </w:tr>
    </w:tbl>
    <w:p w:rsidR="00A34F7E" w:rsidRDefault="00A34F7E" w:rsidP="002F22DE">
      <w:pPr>
        <w:rPr>
          <w:sz w:val="24"/>
        </w:rPr>
      </w:pPr>
    </w:p>
    <w:tbl>
      <w:tblPr>
        <w:tblStyle w:val="TableauListe4-Accentuation5"/>
        <w:tblW w:w="0" w:type="auto"/>
        <w:tblLook w:val="04A0" w:firstRow="1" w:lastRow="0" w:firstColumn="1" w:lastColumn="0" w:noHBand="0" w:noVBand="1"/>
      </w:tblPr>
      <w:tblGrid>
        <w:gridCol w:w="1555"/>
        <w:gridCol w:w="2409"/>
        <w:gridCol w:w="2660"/>
        <w:gridCol w:w="2438"/>
      </w:tblGrid>
      <w:tr w:rsidR="000F517D" w:rsidTr="007A4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rsidR="000F517D" w:rsidRDefault="000F517D" w:rsidP="007A4377">
            <w:pPr>
              <w:jc w:val="center"/>
              <w:rPr>
                <w:sz w:val="24"/>
              </w:rPr>
            </w:pPr>
            <w:r>
              <w:rPr>
                <w:sz w:val="24"/>
              </w:rPr>
              <w:t>Localisation</w:t>
            </w:r>
          </w:p>
        </w:tc>
        <w:tc>
          <w:tcPr>
            <w:tcW w:w="2409"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Catégories de PEM</w:t>
            </w:r>
          </w:p>
        </w:tc>
        <w:tc>
          <w:tcPr>
            <w:tcW w:w="2660"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Description</w:t>
            </w:r>
          </w:p>
        </w:tc>
        <w:tc>
          <w:tcPr>
            <w:tcW w:w="2438"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Taux de récupération</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rsidR="000F517D" w:rsidRPr="00093FCC" w:rsidRDefault="000F517D" w:rsidP="007A4377">
            <w:pPr>
              <w:jc w:val="center"/>
              <w:rPr>
                <w:rFonts w:cstheme="minorHAnsi"/>
                <w:b w:val="0"/>
                <w:bCs w:val="0"/>
                <w:sz w:val="16"/>
              </w:rPr>
            </w:pPr>
            <w:r>
              <w:rPr>
                <w:rFonts w:cstheme="minorHAnsi"/>
                <w:b w:val="0"/>
                <w:bCs w:val="0"/>
                <w:sz w:val="16"/>
              </w:rPr>
              <w:t>3E</w:t>
            </w:r>
          </w:p>
        </w:tc>
        <w:tc>
          <w:tcPr>
            <w:tcW w:w="2409"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 xml:space="preserve">Équipements de chauffage (chaudières, radiateurs à eau, radiateurs électriques, </w:t>
            </w:r>
            <w:proofErr w:type="spellStart"/>
            <w:r w:rsidRPr="00093FCC">
              <w:rPr>
                <w:rFonts w:cstheme="minorHAnsi"/>
                <w:sz w:val="16"/>
              </w:rPr>
              <w:t>etc</w:t>
            </w:r>
            <w:proofErr w:type="spellEnd"/>
            <w:r w:rsidRPr="00093FCC">
              <w:rPr>
                <w:rFonts w:cstheme="minorHAnsi"/>
                <w:sz w:val="16"/>
              </w:rPr>
              <w:t>)</w:t>
            </w: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Radiateur</w:t>
            </w:r>
          </w:p>
        </w:tc>
        <w:tc>
          <w:tcPr>
            <w:tcW w:w="2438"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10%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restart"/>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Appareils sanitaires (lavabo, WC, vidoirs, urinoirs, vasques, éviers, mitigeurs, </w:t>
            </w:r>
            <w:proofErr w:type="spellStart"/>
            <w:r>
              <w:rPr>
                <w:rFonts w:cstheme="minorHAnsi"/>
                <w:sz w:val="16"/>
              </w:rPr>
              <w:t>etc</w:t>
            </w:r>
            <w:proofErr w:type="spellEnd"/>
            <w:r>
              <w:rPr>
                <w:rFonts w:cstheme="minorHAnsi"/>
                <w:sz w:val="16"/>
              </w:rPr>
              <w:t>)</w:t>
            </w:r>
          </w:p>
        </w:tc>
        <w:tc>
          <w:tcPr>
            <w:tcW w:w="2660"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Robinetterie</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80%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WC (cuvette et réservoir) - porcelaine</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80%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p>
        </w:tc>
        <w:tc>
          <w:tcPr>
            <w:tcW w:w="2660" w:type="dxa"/>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Evier - céramique</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80%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tcPr>
          <w:p w:rsidR="000F517D" w:rsidRPr="00093FCC" w:rsidRDefault="000F517D" w:rsidP="007A4377">
            <w:pPr>
              <w:rPr>
                <w:rFonts w:cstheme="minorHAnsi"/>
                <w:b w:val="0"/>
                <w:bCs w:val="0"/>
                <w:sz w:val="16"/>
              </w:rPr>
            </w:pPr>
          </w:p>
        </w:tc>
        <w:tc>
          <w:tcPr>
            <w:tcW w:w="2409" w:type="dxa"/>
            <w:vAlign w:val="center"/>
          </w:tcPr>
          <w:p w:rsidR="000F517D" w:rsidRDefault="000F517D" w:rsidP="007A4377">
            <w:pPr>
              <w:widowControl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6"/>
                <w:szCs w:val="16"/>
              </w:rPr>
            </w:pPr>
            <w:r>
              <w:rPr>
                <w:rFonts w:eastAsia="Calibri" w:cs="Calibri"/>
                <w:color w:val="000000" w:themeColor="text1"/>
                <w:sz w:val="16"/>
                <w:szCs w:val="16"/>
              </w:rPr>
              <w:t>Équipements spécifiques (caméras, bornes Wi-Fi, équipements GTB, contrôles d'accès, etc.)</w:t>
            </w:r>
          </w:p>
        </w:tc>
        <w:tc>
          <w:tcPr>
            <w:tcW w:w="2660" w:type="dxa"/>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Caméra de surveillance</w:t>
            </w:r>
          </w:p>
        </w:tc>
        <w:tc>
          <w:tcPr>
            <w:tcW w:w="2438" w:type="dxa"/>
          </w:tcPr>
          <w:p w:rsidR="000F517D" w:rsidRPr="00093FCC" w:rsidRDefault="001856E3" w:rsidP="007A4377">
            <w:pP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 xml:space="preserve">                          100%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Menuiseries intérieures</w:t>
            </w:r>
          </w:p>
        </w:tc>
        <w:tc>
          <w:tcPr>
            <w:tcW w:w="2660" w:type="dxa"/>
            <w:vAlign w:val="center"/>
          </w:tcPr>
          <w:p w:rsidR="000F517D" w:rsidRPr="00A34F7E"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A34F7E">
              <w:rPr>
                <w:rFonts w:cstheme="minorHAnsi"/>
                <w:sz w:val="16"/>
              </w:rPr>
              <w:t xml:space="preserve">Serrurerie – Cylindres </w:t>
            </w:r>
            <w:proofErr w:type="spellStart"/>
            <w:r w:rsidRPr="00A34F7E">
              <w:rPr>
                <w:rFonts w:cstheme="minorHAnsi"/>
                <w:sz w:val="16"/>
              </w:rPr>
              <w:t>ext</w:t>
            </w:r>
            <w:proofErr w:type="spellEnd"/>
            <w:r w:rsidRPr="00A34F7E">
              <w:rPr>
                <w:rFonts w:cstheme="minorHAnsi"/>
                <w:sz w:val="16"/>
              </w:rPr>
              <w:t xml:space="preserve"> type DENYS</w:t>
            </w:r>
          </w:p>
        </w:tc>
        <w:tc>
          <w:tcPr>
            <w:tcW w:w="2438" w:type="dxa"/>
          </w:tcPr>
          <w:p w:rsidR="000F517D" w:rsidRPr="00A34F7E" w:rsidRDefault="000F517D" w:rsidP="007A4377">
            <w:pPr>
              <w:jc w:val="center"/>
              <w:cnfStyle w:val="000000000000" w:firstRow="0" w:lastRow="0" w:firstColumn="0" w:lastColumn="0" w:oddVBand="0" w:evenVBand="0" w:oddHBand="0" w:evenHBand="0" w:firstRowFirstColumn="0" w:firstRowLastColumn="0" w:lastRowFirstColumn="0" w:lastRowLastColumn="0"/>
            </w:pPr>
            <w:r w:rsidRPr="00A34F7E">
              <w:rPr>
                <w:rFonts w:cstheme="minorHAnsi"/>
                <w:sz w:val="16"/>
              </w:rPr>
              <w:t>100%</w:t>
            </w:r>
          </w:p>
        </w:tc>
      </w:tr>
    </w:tbl>
    <w:p w:rsidR="00A34F7E" w:rsidRDefault="00A34F7E" w:rsidP="002F22DE">
      <w:pPr>
        <w:rPr>
          <w:sz w:val="24"/>
        </w:rPr>
      </w:pPr>
    </w:p>
    <w:tbl>
      <w:tblPr>
        <w:tblStyle w:val="TableauListe4-Accentuation5"/>
        <w:tblW w:w="0" w:type="auto"/>
        <w:tblLook w:val="04A0" w:firstRow="1" w:lastRow="0" w:firstColumn="1" w:lastColumn="0" w:noHBand="0" w:noVBand="1"/>
      </w:tblPr>
      <w:tblGrid>
        <w:gridCol w:w="1555"/>
        <w:gridCol w:w="2409"/>
        <w:gridCol w:w="2660"/>
        <w:gridCol w:w="2438"/>
      </w:tblGrid>
      <w:tr w:rsidR="000F517D" w:rsidTr="007A43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rsidR="000F517D" w:rsidRDefault="000F517D" w:rsidP="007A4377">
            <w:pPr>
              <w:jc w:val="center"/>
              <w:rPr>
                <w:sz w:val="24"/>
              </w:rPr>
            </w:pPr>
            <w:r>
              <w:rPr>
                <w:sz w:val="24"/>
              </w:rPr>
              <w:t>Localisation</w:t>
            </w:r>
          </w:p>
        </w:tc>
        <w:tc>
          <w:tcPr>
            <w:tcW w:w="2409"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Catégories de PEM</w:t>
            </w:r>
          </w:p>
        </w:tc>
        <w:tc>
          <w:tcPr>
            <w:tcW w:w="2660"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Description</w:t>
            </w:r>
          </w:p>
        </w:tc>
        <w:tc>
          <w:tcPr>
            <w:tcW w:w="2438" w:type="dxa"/>
          </w:tcPr>
          <w:p w:rsidR="000F517D" w:rsidRDefault="000F517D" w:rsidP="007A4377">
            <w:pPr>
              <w:jc w:val="center"/>
              <w:cnfStyle w:val="100000000000" w:firstRow="1" w:lastRow="0" w:firstColumn="0" w:lastColumn="0" w:oddVBand="0" w:evenVBand="0" w:oddHBand="0" w:evenHBand="0" w:firstRowFirstColumn="0" w:firstRowLastColumn="0" w:lastRowFirstColumn="0" w:lastRowLastColumn="0"/>
              <w:rPr>
                <w:sz w:val="24"/>
              </w:rPr>
            </w:pPr>
            <w:r>
              <w:rPr>
                <w:sz w:val="24"/>
              </w:rPr>
              <w:t>Taux de récupération</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tcPr>
          <w:p w:rsidR="000F517D" w:rsidRPr="00093FCC" w:rsidRDefault="000F517D" w:rsidP="007A4377">
            <w:pPr>
              <w:jc w:val="center"/>
              <w:rPr>
                <w:rFonts w:cstheme="minorHAnsi"/>
                <w:b w:val="0"/>
                <w:bCs w:val="0"/>
                <w:sz w:val="16"/>
              </w:rPr>
            </w:pPr>
            <w:r>
              <w:rPr>
                <w:rFonts w:cstheme="minorHAnsi"/>
                <w:b w:val="0"/>
                <w:bCs w:val="0"/>
                <w:sz w:val="16"/>
              </w:rPr>
              <w:t>3F</w:t>
            </w:r>
          </w:p>
        </w:tc>
        <w:tc>
          <w:tcPr>
            <w:tcW w:w="2409"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 xml:space="preserve">Équipements de chauffage (chaudières, radiateurs à eau, radiateurs électriques, </w:t>
            </w:r>
            <w:proofErr w:type="spellStart"/>
            <w:r w:rsidRPr="00093FCC">
              <w:rPr>
                <w:rFonts w:cstheme="minorHAnsi"/>
                <w:sz w:val="16"/>
              </w:rPr>
              <w:t>etc</w:t>
            </w:r>
            <w:proofErr w:type="spellEnd"/>
            <w:r w:rsidRPr="00093FCC">
              <w:rPr>
                <w:rFonts w:cstheme="minorHAnsi"/>
                <w:sz w:val="16"/>
              </w:rPr>
              <w:t>)</w:t>
            </w: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Radiateur</w:t>
            </w:r>
          </w:p>
        </w:tc>
        <w:tc>
          <w:tcPr>
            <w:tcW w:w="2438"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sidRPr="00093FCC">
              <w:rPr>
                <w:rFonts w:cstheme="minorHAnsi"/>
                <w:sz w:val="16"/>
              </w:rPr>
              <w:t>10%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restart"/>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 xml:space="preserve">Appareils sanitaires (lavabo, WC, vidoirs, urinoirs, vasques, éviers, mitigeurs, </w:t>
            </w:r>
            <w:proofErr w:type="spellStart"/>
            <w:r>
              <w:rPr>
                <w:rFonts w:cstheme="minorHAnsi"/>
                <w:sz w:val="16"/>
              </w:rPr>
              <w:t>etc</w:t>
            </w:r>
            <w:proofErr w:type="spellEnd"/>
            <w:r>
              <w:rPr>
                <w:rFonts w:cstheme="minorHAnsi"/>
                <w:sz w:val="16"/>
              </w:rPr>
              <w:t>)</w:t>
            </w:r>
          </w:p>
        </w:tc>
        <w:tc>
          <w:tcPr>
            <w:tcW w:w="2660"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Robinetterie</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80%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ign w:val="center"/>
          </w:tcPr>
          <w:p w:rsidR="000F517D"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p>
        </w:tc>
        <w:tc>
          <w:tcPr>
            <w:tcW w:w="2660" w:type="dxa"/>
            <w:vAlign w:val="center"/>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WC (cuvette et réservoir) - porcelaine</w:t>
            </w:r>
          </w:p>
        </w:tc>
        <w:tc>
          <w:tcPr>
            <w:tcW w:w="2438" w:type="dxa"/>
            <w:vAlign w:val="center"/>
          </w:tcPr>
          <w:p w:rsidR="000F517D" w:rsidRPr="00093FCC" w:rsidRDefault="001856E3"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80%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Merge/>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p>
        </w:tc>
        <w:tc>
          <w:tcPr>
            <w:tcW w:w="2660" w:type="dxa"/>
            <w:vAlign w:val="center"/>
          </w:tcPr>
          <w:p w:rsidR="000F517D" w:rsidRDefault="000F517D" w:rsidP="007A4377">
            <w:pPr>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16"/>
                <w:szCs w:val="16"/>
              </w:rPr>
            </w:pPr>
            <w:r>
              <w:rPr>
                <w:rFonts w:eastAsia="Calibri" w:cs="Calibri"/>
                <w:color w:val="000000" w:themeColor="text1"/>
                <w:sz w:val="16"/>
                <w:szCs w:val="16"/>
              </w:rPr>
              <w:t>Evier - céramique</w:t>
            </w:r>
          </w:p>
        </w:tc>
        <w:tc>
          <w:tcPr>
            <w:tcW w:w="2438" w:type="dxa"/>
            <w:vAlign w:val="center"/>
          </w:tcPr>
          <w:p w:rsidR="000F517D" w:rsidRPr="00093FCC" w:rsidRDefault="001856E3"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Pr>
                <w:rFonts w:cstheme="minorHAnsi"/>
                <w:sz w:val="16"/>
              </w:rPr>
              <w:t>80%</w:t>
            </w:r>
          </w:p>
        </w:tc>
      </w:tr>
      <w:tr w:rsidR="000F517D" w:rsidTr="007A43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vMerge/>
          </w:tcPr>
          <w:p w:rsidR="000F517D" w:rsidRPr="00093FCC" w:rsidRDefault="000F517D" w:rsidP="007A4377">
            <w:pPr>
              <w:rPr>
                <w:rFonts w:cstheme="minorHAnsi"/>
                <w:b w:val="0"/>
                <w:bCs w:val="0"/>
                <w:sz w:val="16"/>
              </w:rPr>
            </w:pPr>
          </w:p>
        </w:tc>
        <w:tc>
          <w:tcPr>
            <w:tcW w:w="2409" w:type="dxa"/>
            <w:vAlign w:val="center"/>
          </w:tcPr>
          <w:p w:rsidR="000F517D" w:rsidRDefault="000F517D" w:rsidP="007A4377">
            <w:pPr>
              <w:widowControl w:val="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sz w:val="16"/>
                <w:szCs w:val="16"/>
              </w:rPr>
            </w:pPr>
            <w:r>
              <w:rPr>
                <w:rFonts w:eastAsia="Calibri" w:cs="Calibri"/>
                <w:color w:val="000000" w:themeColor="text1"/>
                <w:sz w:val="16"/>
                <w:szCs w:val="16"/>
              </w:rPr>
              <w:t>Équipements spécifiques (caméras, bornes Wi-Fi, équipements GTB, contrôles d'accès, etc.)</w:t>
            </w:r>
          </w:p>
        </w:tc>
        <w:tc>
          <w:tcPr>
            <w:tcW w:w="2660" w:type="dxa"/>
          </w:tcPr>
          <w:p w:rsidR="000F517D" w:rsidRPr="00093FCC" w:rsidRDefault="000F517D" w:rsidP="007A4377">
            <w:pPr>
              <w:jc w:val="center"/>
              <w:cnfStyle w:val="000000100000" w:firstRow="0" w:lastRow="0" w:firstColumn="0" w:lastColumn="0" w:oddVBand="0" w:evenVBand="0" w:oddHBand="1" w:evenHBand="0" w:firstRowFirstColumn="0" w:firstRowLastColumn="0" w:lastRowFirstColumn="0" w:lastRowLastColumn="0"/>
              <w:rPr>
                <w:rFonts w:cstheme="minorHAnsi"/>
                <w:sz w:val="16"/>
              </w:rPr>
            </w:pPr>
            <w:r>
              <w:rPr>
                <w:rFonts w:eastAsia="Calibri" w:cs="Calibri"/>
                <w:color w:val="000000" w:themeColor="text1"/>
                <w:sz w:val="16"/>
                <w:szCs w:val="16"/>
              </w:rPr>
              <w:t>Caméra de surveillance</w:t>
            </w:r>
          </w:p>
        </w:tc>
        <w:tc>
          <w:tcPr>
            <w:tcW w:w="2438" w:type="dxa"/>
          </w:tcPr>
          <w:p w:rsidR="000F517D" w:rsidRPr="00093FCC" w:rsidRDefault="00CA409C" w:rsidP="007A4377">
            <w:pPr>
              <w:cnfStyle w:val="000000100000" w:firstRow="0" w:lastRow="0" w:firstColumn="0" w:lastColumn="0" w:oddVBand="0" w:evenVBand="0" w:oddHBand="1" w:evenHBand="0" w:firstRowFirstColumn="0" w:firstRowLastColumn="0" w:lastRowFirstColumn="0" w:lastRowLastColumn="0"/>
              <w:rPr>
                <w:rFonts w:cstheme="minorHAnsi"/>
                <w:sz w:val="16"/>
              </w:rPr>
            </w:pPr>
            <w:r>
              <w:rPr>
                <w:rFonts w:cstheme="minorHAnsi"/>
                <w:sz w:val="16"/>
              </w:rPr>
              <w:t xml:space="preserve">                          100%</w:t>
            </w:r>
          </w:p>
        </w:tc>
      </w:tr>
      <w:tr w:rsidR="000F517D" w:rsidTr="007A4377">
        <w:tc>
          <w:tcPr>
            <w:cnfStyle w:val="001000000000" w:firstRow="0" w:lastRow="0" w:firstColumn="1" w:lastColumn="0" w:oddVBand="0" w:evenVBand="0" w:oddHBand="0" w:evenHBand="0" w:firstRowFirstColumn="0" w:firstRowLastColumn="0" w:lastRowFirstColumn="0" w:lastRowLastColumn="0"/>
            <w:tcW w:w="1555" w:type="dxa"/>
            <w:vMerge/>
            <w:vAlign w:val="center"/>
          </w:tcPr>
          <w:p w:rsidR="000F517D" w:rsidRPr="00093FCC" w:rsidRDefault="000F517D" w:rsidP="007A4377">
            <w:pPr>
              <w:jc w:val="center"/>
              <w:rPr>
                <w:rFonts w:cstheme="minorHAnsi"/>
                <w:b w:val="0"/>
                <w:bCs w:val="0"/>
                <w:sz w:val="16"/>
              </w:rPr>
            </w:pPr>
          </w:p>
        </w:tc>
        <w:tc>
          <w:tcPr>
            <w:tcW w:w="2409" w:type="dxa"/>
            <w:vAlign w:val="center"/>
          </w:tcPr>
          <w:p w:rsidR="000F517D" w:rsidRPr="00093FCC"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093FCC">
              <w:rPr>
                <w:rFonts w:cstheme="minorHAnsi"/>
                <w:sz w:val="16"/>
              </w:rPr>
              <w:t>Menuiseries intérieures</w:t>
            </w:r>
          </w:p>
        </w:tc>
        <w:tc>
          <w:tcPr>
            <w:tcW w:w="2660" w:type="dxa"/>
            <w:vAlign w:val="center"/>
          </w:tcPr>
          <w:p w:rsidR="000F517D" w:rsidRPr="00A34F7E" w:rsidRDefault="000F517D" w:rsidP="007A4377">
            <w:pPr>
              <w:jc w:val="center"/>
              <w:cnfStyle w:val="000000000000" w:firstRow="0" w:lastRow="0" w:firstColumn="0" w:lastColumn="0" w:oddVBand="0" w:evenVBand="0" w:oddHBand="0" w:evenHBand="0" w:firstRowFirstColumn="0" w:firstRowLastColumn="0" w:lastRowFirstColumn="0" w:lastRowLastColumn="0"/>
              <w:rPr>
                <w:rFonts w:cstheme="minorHAnsi"/>
                <w:sz w:val="16"/>
              </w:rPr>
            </w:pPr>
            <w:r w:rsidRPr="00A34F7E">
              <w:rPr>
                <w:rFonts w:cstheme="minorHAnsi"/>
                <w:sz w:val="16"/>
              </w:rPr>
              <w:t xml:space="preserve">Serrurerie – Cylindres </w:t>
            </w:r>
            <w:proofErr w:type="spellStart"/>
            <w:r w:rsidRPr="00A34F7E">
              <w:rPr>
                <w:rFonts w:cstheme="minorHAnsi"/>
                <w:sz w:val="16"/>
              </w:rPr>
              <w:t>ext</w:t>
            </w:r>
            <w:proofErr w:type="spellEnd"/>
            <w:r w:rsidRPr="00A34F7E">
              <w:rPr>
                <w:rFonts w:cstheme="minorHAnsi"/>
                <w:sz w:val="16"/>
              </w:rPr>
              <w:t xml:space="preserve"> type DENYS</w:t>
            </w:r>
          </w:p>
        </w:tc>
        <w:tc>
          <w:tcPr>
            <w:tcW w:w="2438" w:type="dxa"/>
          </w:tcPr>
          <w:p w:rsidR="000F517D" w:rsidRPr="00A34F7E" w:rsidRDefault="000F517D" w:rsidP="007A4377">
            <w:pPr>
              <w:jc w:val="center"/>
              <w:cnfStyle w:val="000000000000" w:firstRow="0" w:lastRow="0" w:firstColumn="0" w:lastColumn="0" w:oddVBand="0" w:evenVBand="0" w:oddHBand="0" w:evenHBand="0" w:firstRowFirstColumn="0" w:firstRowLastColumn="0" w:lastRowFirstColumn="0" w:lastRowLastColumn="0"/>
            </w:pPr>
            <w:r w:rsidRPr="00A34F7E">
              <w:rPr>
                <w:rFonts w:cstheme="minorHAnsi"/>
                <w:sz w:val="16"/>
              </w:rPr>
              <w:t>100%</w:t>
            </w:r>
          </w:p>
        </w:tc>
      </w:tr>
    </w:tbl>
    <w:p w:rsidR="000F517D" w:rsidRDefault="000F517D" w:rsidP="002F22DE">
      <w:pPr>
        <w:rPr>
          <w:sz w:val="24"/>
        </w:rPr>
      </w:pPr>
    </w:p>
    <w:sectPr w:rsidR="000F517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2DE" w:rsidRDefault="002F22DE" w:rsidP="002F22DE">
      <w:pPr>
        <w:spacing w:after="0" w:line="240" w:lineRule="auto"/>
      </w:pPr>
      <w:r>
        <w:separator/>
      </w:r>
    </w:p>
  </w:endnote>
  <w:endnote w:type="continuationSeparator" w:id="0">
    <w:p w:rsidR="002F22DE" w:rsidRDefault="002F22DE" w:rsidP="002F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2DE" w:rsidRDefault="002F22DE" w:rsidP="002F22DE">
      <w:pPr>
        <w:spacing w:after="0" w:line="240" w:lineRule="auto"/>
      </w:pPr>
      <w:r>
        <w:separator/>
      </w:r>
    </w:p>
  </w:footnote>
  <w:footnote w:type="continuationSeparator" w:id="0">
    <w:p w:rsidR="002F22DE" w:rsidRDefault="002F22DE" w:rsidP="002F2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2DE" w:rsidRDefault="002F22DE">
    <w:pPr>
      <w:pStyle w:val="En-tte"/>
    </w:pPr>
    <w:r w:rsidRPr="005307A0">
      <w:rPr>
        <w:rFonts w:ascii="Times New Roman" w:eastAsia="Times New Roman" w:hAnsi="Times New Roman" w:cs="Times New Roman"/>
        <w:noProof/>
        <w:sz w:val="24"/>
        <w:szCs w:val="24"/>
        <w:lang w:eastAsia="fr-FR"/>
      </w:rPr>
      <w:drawing>
        <wp:anchor distT="36576" distB="36576" distL="36576" distR="36576" simplePos="0" relativeHeight="251659264" behindDoc="0" locked="0" layoutInCell="1" allowOverlap="1" wp14:anchorId="1A2030A8" wp14:editId="5FF76CE7">
          <wp:simplePos x="0" y="0"/>
          <wp:positionH relativeFrom="column">
            <wp:posOffset>4586361</wp:posOffset>
          </wp:positionH>
          <wp:positionV relativeFrom="paragraph">
            <wp:posOffset>-278130</wp:posOffset>
          </wp:positionV>
          <wp:extent cx="1141378" cy="656545"/>
          <wp:effectExtent l="0" t="0" r="1905" b="0"/>
          <wp:wrapNone/>
          <wp:docPr id="2" name="Image 4" descr="2016 - LOGO EPSM Century Got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2016 - LOGO EPSM Century Gothic"/>
                  <pic:cNvPicPr>
                    <a:picLocks noChangeAspect="1" noChangeArrowheads="1"/>
                  </pic:cNvPicPr>
                </pic:nvPicPr>
                <pic:blipFill>
                  <a:blip r:embed="rId1">
                    <a:extLst>
                      <a:ext uri="{28A0092B-C50C-407E-A947-70E740481C1C}">
                        <a14:useLocalDpi xmlns:a14="http://schemas.microsoft.com/office/drawing/2010/main" val="0"/>
                      </a:ext>
                    </a:extLst>
                  </a:blip>
                  <a:srcRect t="7947" b="10596"/>
                  <a:stretch>
                    <a:fillRect/>
                  </a:stretch>
                </pic:blipFill>
                <pic:spPr bwMode="auto">
                  <a:xfrm>
                    <a:off x="0" y="0"/>
                    <a:ext cx="1141378" cy="65654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F175C"/>
    <w:multiLevelType w:val="multilevel"/>
    <w:tmpl w:val="A2A65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3C"/>
    <w:rsid w:val="00003A09"/>
    <w:rsid w:val="00093FCC"/>
    <w:rsid w:val="000E7BC2"/>
    <w:rsid w:val="000F517D"/>
    <w:rsid w:val="001856E3"/>
    <w:rsid w:val="0028582B"/>
    <w:rsid w:val="00295798"/>
    <w:rsid w:val="002F22DE"/>
    <w:rsid w:val="003E24F8"/>
    <w:rsid w:val="004D5E53"/>
    <w:rsid w:val="008700D1"/>
    <w:rsid w:val="00930E6A"/>
    <w:rsid w:val="009B283C"/>
    <w:rsid w:val="00A34F7E"/>
    <w:rsid w:val="00B07105"/>
    <w:rsid w:val="00C649A0"/>
    <w:rsid w:val="00CA409C"/>
    <w:rsid w:val="00D43F43"/>
    <w:rsid w:val="00FA0833"/>
    <w:rsid w:val="00FE2D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869C8"/>
  <w15:chartTrackingRefBased/>
  <w15:docId w15:val="{E67B1108-0F4B-4FFB-BEBA-A5CA72BE7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link w:val="Titre3Car"/>
    <w:uiPriority w:val="9"/>
    <w:qFormat/>
    <w:rsid w:val="00930E6A"/>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22DE"/>
    <w:pPr>
      <w:tabs>
        <w:tab w:val="center" w:pos="4536"/>
        <w:tab w:val="right" w:pos="9072"/>
      </w:tabs>
      <w:spacing w:after="0" w:line="240" w:lineRule="auto"/>
    </w:pPr>
  </w:style>
  <w:style w:type="character" w:customStyle="1" w:styleId="En-tteCar">
    <w:name w:val="En-tête Car"/>
    <w:basedOn w:val="Policepardfaut"/>
    <w:link w:val="En-tte"/>
    <w:uiPriority w:val="99"/>
    <w:rsid w:val="002F22DE"/>
  </w:style>
  <w:style w:type="paragraph" w:styleId="Pieddepage">
    <w:name w:val="footer"/>
    <w:basedOn w:val="Normal"/>
    <w:link w:val="PieddepageCar"/>
    <w:uiPriority w:val="99"/>
    <w:unhideWhenUsed/>
    <w:rsid w:val="002F22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F22DE"/>
  </w:style>
  <w:style w:type="table" w:styleId="Grilledutableau">
    <w:name w:val="Table Grid"/>
    <w:basedOn w:val="TableauNormal"/>
    <w:uiPriority w:val="39"/>
    <w:rsid w:val="002F2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4-Accentuation5">
    <w:name w:val="List Table 4 Accent 5"/>
    <w:basedOn w:val="TableauNormal"/>
    <w:uiPriority w:val="49"/>
    <w:rsid w:val="00C649A0"/>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itre3Car">
    <w:name w:val="Titre 3 Car"/>
    <w:basedOn w:val="Policepardfaut"/>
    <w:link w:val="Titre3"/>
    <w:uiPriority w:val="9"/>
    <w:rsid w:val="00930E6A"/>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930E6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930E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3752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EPSM Morbihan</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VASQUEZ OBREGON Sergio</dc:creator>
  <cp:keywords/>
  <dc:description/>
  <cp:lastModifiedBy>VASQUEZ OBREGON Sergio</cp:lastModifiedBy>
  <cp:revision>9</cp:revision>
  <dcterms:created xsi:type="dcterms:W3CDTF">2026-08-17T11:47:00Z</dcterms:created>
  <dcterms:modified xsi:type="dcterms:W3CDTF">2026-08-19T09:10:00Z</dcterms:modified>
</cp:coreProperties>
</file>